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4"/>
        <w:tblW w:w="1512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584"/>
        <w:gridCol w:w="1649"/>
        <w:gridCol w:w="2887"/>
      </w:tblGrid>
      <w:tr w:rsidR="00D407FB" w:rsidRPr="00097675" w:rsidTr="00D407FB">
        <w:trPr>
          <w:trHeight w:val="162"/>
        </w:trPr>
        <w:tc>
          <w:tcPr>
            <w:tcW w:w="15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FB" w:rsidRPr="00097675" w:rsidRDefault="00D407FB" w:rsidP="009F3DBE">
            <w:pPr>
              <w:spacing w:after="0"/>
              <w:rPr>
                <w:rFonts w:eastAsia="Times New Roman" w:cs="Arial"/>
                <w:sz w:val="32"/>
                <w:szCs w:val="32"/>
                <w:lang w:eastAsia="en-NZ"/>
              </w:rPr>
            </w:pPr>
            <w:r w:rsidRPr="0047092A">
              <w:rPr>
                <w:rFonts w:eastAsia="Times New Roman" w:cs="Arial"/>
                <w:b/>
                <w:kern w:val="24"/>
                <w:sz w:val="32"/>
                <w:szCs w:val="32"/>
                <w:shd w:val="clear" w:color="auto" w:fill="BDD6EE" w:themeFill="accent1" w:themeFillTint="66"/>
                <w:lang w:eastAsia="en-NZ"/>
              </w:rPr>
              <w:t>PROJECT 6</w:t>
            </w:r>
            <w:r w:rsidRPr="0047092A">
              <w:rPr>
                <w:rFonts w:eastAsia="Times New Roman" w:cs="Arial"/>
                <w:kern w:val="24"/>
                <w:sz w:val="32"/>
                <w:szCs w:val="32"/>
                <w:shd w:val="clear" w:color="auto" w:fill="BDD6EE" w:themeFill="accent1" w:themeFillTint="66"/>
                <w:lang w:eastAsia="en-NZ"/>
              </w:rPr>
              <w:t xml:space="preserve">                                                                                                                               </w:t>
            </w:r>
            <w:r w:rsidRPr="00097675">
              <w:rPr>
                <w:rFonts w:eastAsia="Times New Roman" w:cs="Arial"/>
                <w:kern w:val="24"/>
                <w:sz w:val="32"/>
                <w:szCs w:val="32"/>
                <w:lang w:eastAsia="en-NZ"/>
              </w:rPr>
              <w:t xml:space="preserve">Name: </w:t>
            </w:r>
            <w:r>
              <w:rPr>
                <w:rFonts w:eastAsia="Times New Roman" w:cs="Arial"/>
                <w:b/>
                <w:kern w:val="24"/>
                <w:sz w:val="32"/>
                <w:szCs w:val="32"/>
                <w:lang w:eastAsia="en-NZ"/>
              </w:rPr>
              <w:t>LI</w:t>
            </w:r>
            <w:r w:rsidRPr="00A6346C">
              <w:rPr>
                <w:rFonts w:eastAsia="Times New Roman" w:cs="Arial"/>
                <w:b/>
                <w:kern w:val="24"/>
                <w:sz w:val="32"/>
                <w:szCs w:val="32"/>
                <w:lang w:eastAsia="en-NZ"/>
              </w:rPr>
              <w:t xml:space="preserve">CENSING </w:t>
            </w:r>
          </w:p>
        </w:tc>
      </w:tr>
      <w:tr w:rsidR="00D407FB" w:rsidRPr="00A65842" w:rsidTr="00D407FB">
        <w:trPr>
          <w:trHeight w:val="162"/>
        </w:trPr>
        <w:tc>
          <w:tcPr>
            <w:tcW w:w="15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FB" w:rsidRPr="00A65842" w:rsidRDefault="00D407FB" w:rsidP="009F3DBE">
            <w:pPr>
              <w:spacing w:after="0"/>
              <w:rPr>
                <w:rFonts w:eastAsia="Times New Roman" w:cs="Arial"/>
                <w:sz w:val="24"/>
                <w:szCs w:val="24"/>
                <w:lang w:eastAsia="en-NZ"/>
              </w:rPr>
            </w:pPr>
            <w:r w:rsidRPr="00D6482E">
              <w:rPr>
                <w:rFonts w:eastAsia="Times New Roman" w:cs="Arial"/>
                <w:b/>
                <w:color w:val="000000"/>
                <w:kern w:val="24"/>
                <w:sz w:val="24"/>
                <w:szCs w:val="24"/>
                <w:lang w:eastAsia="en-NZ"/>
              </w:rPr>
              <w:t>Objective: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en-NZ"/>
              </w:rPr>
              <w:t xml:space="preserve">  Enable communities to have increase awareness on new proposed  liquor  outlets and promote community action</w:t>
            </w:r>
          </w:p>
        </w:tc>
      </w:tr>
      <w:tr w:rsidR="00D407FB" w:rsidRPr="00F75A44" w:rsidTr="00D407FB">
        <w:trPr>
          <w:trHeight w:val="162"/>
        </w:trPr>
        <w:tc>
          <w:tcPr>
            <w:tcW w:w="12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FB" w:rsidRDefault="00D407FB" w:rsidP="009F3DBE">
            <w:pPr>
              <w:pStyle w:val="NoSpacing"/>
              <w:rPr>
                <w:color w:val="FF0000"/>
              </w:rPr>
            </w:pPr>
            <w:r w:rsidRPr="008E52C0">
              <w:rPr>
                <w:b/>
                <w:lang w:eastAsia="en-NZ"/>
              </w:rPr>
              <w:t>Project Tasks</w:t>
            </w:r>
            <w:r>
              <w:rPr>
                <w:color w:val="FF0000"/>
              </w:rPr>
              <w:t xml:space="preserve">.  </w:t>
            </w:r>
          </w:p>
          <w:p w:rsidR="00D407FB" w:rsidRPr="008E52C0" w:rsidRDefault="00D407FB" w:rsidP="009F3DBE">
            <w:pPr>
              <w:pStyle w:val="NoSpacing"/>
              <w:rPr>
                <w:b/>
                <w:lang w:eastAsia="en-NZ"/>
              </w:rPr>
            </w:pPr>
          </w:p>
        </w:tc>
        <w:tc>
          <w:tcPr>
            <w:tcW w:w="2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07FB" w:rsidRPr="00F75A44" w:rsidRDefault="00D407FB" w:rsidP="009F3DBE">
            <w:pPr>
              <w:spacing w:after="0"/>
              <w:jc w:val="center"/>
              <w:rPr>
                <w:rFonts w:eastAsia="Times New Roman" w:cs="Arial"/>
                <w:lang w:eastAsia="en-NZ"/>
              </w:rPr>
            </w:pPr>
            <w:r w:rsidRPr="00F75A44">
              <w:rPr>
                <w:rFonts w:eastAsia="Times New Roman" w:cs="Arial"/>
                <w:color w:val="000000" w:themeColor="text1"/>
                <w:kern w:val="24"/>
                <w:lang w:eastAsia="en-NZ"/>
              </w:rPr>
              <w:t>Aligned National RBA Activity (where applicable)</w:t>
            </w:r>
          </w:p>
        </w:tc>
      </w:tr>
      <w:tr w:rsidR="00D407FB" w:rsidRPr="005D267B" w:rsidTr="00D407FB">
        <w:trPr>
          <w:trHeight w:val="133"/>
        </w:trPr>
        <w:tc>
          <w:tcPr>
            <w:tcW w:w="10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FB" w:rsidRPr="00D6482E" w:rsidRDefault="00D407FB" w:rsidP="009F3DBE">
            <w:pPr>
              <w:spacing w:after="0"/>
              <w:rPr>
                <w:rFonts w:eastAsia="Times New Roman" w:cs="Arial"/>
                <w:b/>
                <w:sz w:val="24"/>
                <w:szCs w:val="24"/>
                <w:lang w:eastAsia="en-NZ"/>
              </w:rPr>
            </w:pPr>
            <w:r w:rsidRPr="00D6482E">
              <w:rPr>
                <w:rFonts w:eastAsia="Times New Roman" w:cs="Arial"/>
                <w:b/>
                <w:color w:val="000000" w:themeColor="text1"/>
                <w:kern w:val="24"/>
                <w:sz w:val="24"/>
                <w:szCs w:val="24"/>
                <w:lang w:eastAsia="en-NZ"/>
              </w:rPr>
              <w:t>Key Tasks/Actions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07FB" w:rsidRPr="005510D6" w:rsidRDefault="00D407FB" w:rsidP="009F3DBE">
            <w:pPr>
              <w:spacing w:after="0"/>
              <w:rPr>
                <w:rFonts w:eastAsia="Times New Roman" w:cs="Arial"/>
                <w:sz w:val="24"/>
                <w:szCs w:val="24"/>
                <w:lang w:eastAsia="en-NZ"/>
              </w:rPr>
            </w:pPr>
            <w:r w:rsidRPr="005510D6">
              <w:rPr>
                <w:rFonts w:eastAsia="Times New Roman" w:cs="Arial"/>
                <w:color w:val="000000" w:themeColor="text1"/>
                <w:kern w:val="24"/>
                <w:sz w:val="24"/>
                <w:szCs w:val="24"/>
                <w:lang w:eastAsia="en-NZ"/>
              </w:rPr>
              <w:t>Completion</w:t>
            </w:r>
          </w:p>
        </w:tc>
        <w:tc>
          <w:tcPr>
            <w:tcW w:w="2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407FB" w:rsidRPr="005D267B" w:rsidRDefault="00D407FB" w:rsidP="009F3DBE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NZ"/>
              </w:rPr>
            </w:pPr>
          </w:p>
        </w:tc>
      </w:tr>
      <w:tr w:rsidR="00D407FB" w:rsidRPr="00A86DC3" w:rsidTr="00D407FB">
        <w:trPr>
          <w:trHeight w:val="361"/>
        </w:trPr>
        <w:tc>
          <w:tcPr>
            <w:tcW w:w="10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FB" w:rsidRDefault="00D407FB" w:rsidP="00D407FB">
            <w:pPr>
              <w:pStyle w:val="NoSpacing"/>
              <w:numPr>
                <w:ilvl w:val="0"/>
                <w:numId w:val="1"/>
              </w:numPr>
            </w:pPr>
            <w:r>
              <w:t xml:space="preserve">Put together Resource materials </w:t>
            </w:r>
          </w:p>
          <w:p w:rsidR="00D407FB" w:rsidRDefault="00D407FB" w:rsidP="009F3DBE">
            <w:pPr>
              <w:pStyle w:val="NoSpacing"/>
              <w:ind w:left="360"/>
            </w:pPr>
          </w:p>
          <w:p w:rsidR="00D407FB" w:rsidRPr="00D407FB" w:rsidRDefault="00D407FB" w:rsidP="00D407FB">
            <w:pPr>
              <w:pStyle w:val="NoSpacing"/>
              <w:numPr>
                <w:ilvl w:val="0"/>
                <w:numId w:val="1"/>
              </w:numPr>
            </w:pPr>
            <w:r w:rsidRPr="00D407FB">
              <w:t xml:space="preserve">Engage  Stakeholders  in particular Community Public Health (DHB)  </w:t>
            </w:r>
          </w:p>
          <w:p w:rsidR="00D407FB" w:rsidRPr="00D407FB" w:rsidRDefault="00D407FB" w:rsidP="009F3DBE">
            <w:pPr>
              <w:pStyle w:val="ListParagraph"/>
            </w:pPr>
            <w:r w:rsidRPr="00D407FB">
              <w:t>Note: We have just formed a collaborative Partnership with CPH (CAAT) Community Action Alcohol Team. This is an initiative which has a proactive approach to liquor licensing in the co</w:t>
            </w:r>
            <w:r>
              <w:t>mmunity. The CAAT team involves</w:t>
            </w:r>
            <w:r w:rsidRPr="00D407FB">
              <w:t xml:space="preserve"> Community Law, CPH –Licensing and alcohol health promoters and CAYAD </w:t>
            </w:r>
            <w:bookmarkStart w:id="0" w:name="_GoBack"/>
            <w:bookmarkEnd w:id="0"/>
            <w:r w:rsidRPr="00D407FB">
              <w:t>providing opportunities</w:t>
            </w:r>
            <w:r w:rsidRPr="00D407FB">
              <w:t xml:space="preserve"> for communities to better prepare to respond to liquor applications. </w:t>
            </w:r>
          </w:p>
          <w:p w:rsidR="00D407FB" w:rsidRDefault="00D407FB" w:rsidP="009F3DBE">
            <w:pPr>
              <w:pStyle w:val="NoSpacing"/>
            </w:pPr>
          </w:p>
          <w:p w:rsidR="00D407FB" w:rsidRDefault="00D407FB" w:rsidP="00D407FB">
            <w:pPr>
              <w:pStyle w:val="NoSpacing"/>
              <w:numPr>
                <w:ilvl w:val="0"/>
                <w:numId w:val="1"/>
              </w:numPr>
            </w:pPr>
            <w:r>
              <w:t>Reach 3 communities (particularly those identified as low socio-economic -decile groups)</w:t>
            </w:r>
          </w:p>
          <w:p w:rsidR="00D407FB" w:rsidRDefault="00D407FB" w:rsidP="009F3DBE">
            <w:pPr>
              <w:pStyle w:val="NoSpacing"/>
            </w:pPr>
          </w:p>
          <w:p w:rsidR="00D407FB" w:rsidRPr="004327BF" w:rsidRDefault="00D407FB" w:rsidP="00D407FB">
            <w:pPr>
              <w:pStyle w:val="NoSpacing"/>
              <w:numPr>
                <w:ilvl w:val="0"/>
                <w:numId w:val="1"/>
              </w:numPr>
            </w:pPr>
            <w:r>
              <w:t xml:space="preserve">Submissions on Liquor licensing applications from communities  increased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07FB" w:rsidRDefault="00D407FB" w:rsidP="009F3DBE">
            <w:pPr>
              <w:tabs>
                <w:tab w:val="left" w:pos="1014"/>
              </w:tabs>
              <w:spacing w:after="0"/>
              <w:rPr>
                <w:rFonts w:eastAsia="Times New Roman" w:cs="Arial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sz w:val="20"/>
                <w:szCs w:val="20"/>
                <w:lang w:eastAsia="en-NZ"/>
              </w:rPr>
              <w:t>August 2017</w:t>
            </w:r>
          </w:p>
          <w:p w:rsidR="00D407FB" w:rsidRDefault="00D407FB" w:rsidP="009F3DBE">
            <w:pPr>
              <w:tabs>
                <w:tab w:val="left" w:pos="1014"/>
              </w:tabs>
              <w:spacing w:after="0"/>
              <w:rPr>
                <w:rFonts w:eastAsia="Times New Roman" w:cs="Arial"/>
                <w:sz w:val="20"/>
                <w:szCs w:val="20"/>
                <w:lang w:eastAsia="en-NZ"/>
              </w:rPr>
            </w:pPr>
          </w:p>
          <w:p w:rsidR="00D407FB" w:rsidRDefault="00D407FB" w:rsidP="009F3DBE">
            <w:pPr>
              <w:tabs>
                <w:tab w:val="left" w:pos="1014"/>
              </w:tabs>
              <w:spacing w:after="0"/>
              <w:rPr>
                <w:rFonts w:eastAsia="Times New Roman" w:cs="Arial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sz w:val="20"/>
                <w:szCs w:val="20"/>
                <w:lang w:eastAsia="en-NZ"/>
              </w:rPr>
              <w:t>August 2017</w:t>
            </w:r>
          </w:p>
          <w:p w:rsidR="00D407FB" w:rsidRDefault="00D407FB" w:rsidP="009F3DBE">
            <w:pPr>
              <w:tabs>
                <w:tab w:val="left" w:pos="1014"/>
              </w:tabs>
              <w:spacing w:after="0"/>
              <w:rPr>
                <w:rFonts w:eastAsia="Times New Roman" w:cs="Arial"/>
                <w:sz w:val="20"/>
                <w:szCs w:val="20"/>
                <w:lang w:eastAsia="en-NZ"/>
              </w:rPr>
            </w:pPr>
          </w:p>
          <w:p w:rsidR="00D407FB" w:rsidRDefault="00D407FB" w:rsidP="009F3DBE">
            <w:pPr>
              <w:tabs>
                <w:tab w:val="left" w:pos="1014"/>
              </w:tabs>
              <w:spacing w:after="0"/>
              <w:rPr>
                <w:rFonts w:eastAsia="Times New Roman" w:cs="Arial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sz w:val="20"/>
                <w:szCs w:val="20"/>
                <w:lang w:eastAsia="en-NZ"/>
              </w:rPr>
              <w:t xml:space="preserve">Sept/Oct 2017 </w:t>
            </w:r>
          </w:p>
          <w:p w:rsidR="00D407FB" w:rsidRDefault="00D407FB" w:rsidP="009F3DBE">
            <w:pPr>
              <w:tabs>
                <w:tab w:val="left" w:pos="1014"/>
              </w:tabs>
              <w:spacing w:after="0"/>
              <w:rPr>
                <w:rFonts w:eastAsia="Times New Roman" w:cs="Arial"/>
                <w:sz w:val="20"/>
                <w:szCs w:val="20"/>
                <w:lang w:eastAsia="en-NZ"/>
              </w:rPr>
            </w:pPr>
          </w:p>
          <w:p w:rsidR="00D407FB" w:rsidRDefault="00D407FB" w:rsidP="009F3DBE">
            <w:pPr>
              <w:tabs>
                <w:tab w:val="left" w:pos="1014"/>
              </w:tabs>
              <w:spacing w:after="0"/>
              <w:rPr>
                <w:rFonts w:eastAsia="Times New Roman" w:cs="Arial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sz w:val="20"/>
                <w:szCs w:val="20"/>
                <w:lang w:eastAsia="en-NZ"/>
              </w:rPr>
              <w:t>June 2018</w:t>
            </w:r>
          </w:p>
          <w:p w:rsidR="00D407FB" w:rsidRDefault="00D407FB" w:rsidP="009F3DBE">
            <w:pPr>
              <w:tabs>
                <w:tab w:val="left" w:pos="1014"/>
              </w:tabs>
              <w:spacing w:after="0"/>
              <w:rPr>
                <w:rFonts w:eastAsia="Times New Roman" w:cs="Arial"/>
                <w:sz w:val="20"/>
                <w:szCs w:val="20"/>
                <w:lang w:eastAsia="en-NZ"/>
              </w:rPr>
            </w:pPr>
          </w:p>
          <w:p w:rsidR="00D407FB" w:rsidRPr="005D267B" w:rsidRDefault="00D407FB" w:rsidP="009F3DBE">
            <w:pPr>
              <w:tabs>
                <w:tab w:val="left" w:pos="1014"/>
              </w:tabs>
              <w:spacing w:after="0"/>
              <w:rPr>
                <w:rFonts w:eastAsia="Times New Roman" w:cs="Arial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sz w:val="20"/>
                <w:szCs w:val="20"/>
                <w:lang w:eastAsia="en-NZ"/>
              </w:rPr>
              <w:t xml:space="preserve">June 2018 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07FB" w:rsidRPr="00D6482E" w:rsidRDefault="00D407FB" w:rsidP="009F3DBE">
            <w:pPr>
              <w:pStyle w:val="NoSpacing"/>
              <w:jc w:val="center"/>
              <w:rPr>
                <w:sz w:val="32"/>
                <w:szCs w:val="32"/>
              </w:rPr>
            </w:pPr>
            <w:r w:rsidRPr="00D6482E">
              <w:rPr>
                <w:sz w:val="32"/>
                <w:szCs w:val="32"/>
              </w:rPr>
              <w:t>2</w:t>
            </w:r>
          </w:p>
          <w:p w:rsidR="00D407FB" w:rsidRDefault="00D407FB" w:rsidP="009F3DBE">
            <w:pPr>
              <w:pStyle w:val="NoSpacing"/>
              <w:rPr>
                <w:i/>
              </w:rPr>
            </w:pPr>
            <w:r w:rsidRPr="006C1F25">
              <w:t xml:space="preserve">Engage with and support </w:t>
            </w:r>
            <w:r>
              <w:t>organisations/</w:t>
            </w:r>
            <w:r w:rsidRPr="006C1F25">
              <w:t>community groups to</w:t>
            </w:r>
            <w:r>
              <w:t xml:space="preserve"> plan and deliver community action initiatives</w:t>
            </w:r>
            <w:r w:rsidRPr="006C1F25">
              <w:t xml:space="preserve"> to reduce </w:t>
            </w:r>
            <w:r>
              <w:t>alcohol and other drug</w:t>
            </w:r>
            <w:r w:rsidRPr="006C1F25">
              <w:t xml:space="preserve"> </w:t>
            </w:r>
            <w:r>
              <w:t xml:space="preserve">related </w:t>
            </w:r>
            <w:r w:rsidRPr="006C1F25">
              <w:t xml:space="preserve">harm </w:t>
            </w:r>
            <w:r>
              <w:t>affecting</w:t>
            </w:r>
            <w:r w:rsidRPr="006C1F25">
              <w:t xml:space="preserve"> you</w:t>
            </w:r>
            <w:r>
              <w:t>ng people</w:t>
            </w:r>
            <w:r>
              <w:rPr>
                <w:rStyle w:val="FootnoteReference"/>
                <w:rFonts w:cs="Arial"/>
                <w:color w:val="000000"/>
              </w:rPr>
              <w:footnoteReference w:id="1"/>
            </w:r>
            <w:r>
              <w:rPr>
                <w:i/>
              </w:rPr>
              <w:t>.</w:t>
            </w:r>
          </w:p>
          <w:p w:rsidR="00D407FB" w:rsidRPr="00835466" w:rsidRDefault="00D407FB" w:rsidP="009F3DBE">
            <w:pPr>
              <w:pStyle w:val="NoSpacing"/>
              <w:jc w:val="center"/>
              <w:rPr>
                <w:sz w:val="36"/>
                <w:szCs w:val="36"/>
              </w:rPr>
            </w:pPr>
            <w:r w:rsidRPr="00835466">
              <w:rPr>
                <w:rFonts w:eastAsia="Times New Roman"/>
                <w:color w:val="000000" w:themeColor="text1"/>
                <w:kern w:val="24"/>
                <w:sz w:val="36"/>
                <w:szCs w:val="36"/>
                <w:lang w:eastAsia="en-NZ"/>
              </w:rPr>
              <w:t>3</w:t>
            </w:r>
          </w:p>
          <w:p w:rsidR="00D407FB" w:rsidRDefault="00D407FB" w:rsidP="009F3DBE">
            <w:pPr>
              <w:pStyle w:val="NoSpacing"/>
            </w:pPr>
          </w:p>
          <w:p w:rsidR="00D407FB" w:rsidRDefault="00D407FB" w:rsidP="009F3DBE">
            <w:pPr>
              <w:pStyle w:val="NoSpacing"/>
            </w:pPr>
            <w:r w:rsidRPr="005D267B">
              <w:t>Design, deliver and support awareness-raising activities</w:t>
            </w:r>
            <w:r w:rsidRPr="005D267B">
              <w:rPr>
                <w:rStyle w:val="FootnoteReference"/>
                <w:rFonts w:cs="Arial"/>
                <w:color w:val="000000"/>
              </w:rPr>
              <w:footnoteReference w:id="2"/>
            </w:r>
            <w:r w:rsidRPr="005D267B">
              <w:t xml:space="preserve"> that provide opportunity for informed discussion and debate, increase knowledge</w:t>
            </w:r>
            <w:r w:rsidRPr="005D267B">
              <w:rPr>
                <w:rStyle w:val="FootnoteReference"/>
                <w:rFonts w:cs="Arial"/>
                <w:color w:val="000000"/>
              </w:rPr>
              <w:footnoteReference w:id="3"/>
            </w:r>
            <w:r w:rsidRPr="005D267B">
              <w:t xml:space="preserve"> and/or create behaviour change around the use of alcohol and other drugs.</w:t>
            </w:r>
          </w:p>
          <w:p w:rsidR="00D407FB" w:rsidRPr="00A86DC3" w:rsidRDefault="00D407FB" w:rsidP="009F3DBE">
            <w:pPr>
              <w:pStyle w:val="NoSpacing"/>
              <w:jc w:val="center"/>
              <w:rPr>
                <w:b/>
                <w:sz w:val="28"/>
                <w:szCs w:val="20"/>
              </w:rPr>
            </w:pPr>
          </w:p>
        </w:tc>
      </w:tr>
      <w:tr w:rsidR="00D407FB" w:rsidRPr="005D267B" w:rsidTr="00D407FB">
        <w:trPr>
          <w:trHeight w:val="353"/>
        </w:trPr>
        <w:tc>
          <w:tcPr>
            <w:tcW w:w="10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FB" w:rsidRPr="005D267B" w:rsidRDefault="00D407FB" w:rsidP="009F3DBE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5D267B">
              <w:rPr>
                <w:rFonts w:eastAsia="Times New Roman" w:cs="Arial"/>
                <w:sz w:val="20"/>
                <w:szCs w:val="20"/>
                <w:lang w:eastAsia="en-NZ"/>
              </w:rPr>
              <w:t xml:space="preserve">Internal </w:t>
            </w:r>
            <w:r>
              <w:rPr>
                <w:rFonts w:eastAsia="Times New Roman" w:cs="Arial"/>
                <w:sz w:val="20"/>
                <w:szCs w:val="20"/>
                <w:lang w:eastAsia="en-NZ"/>
              </w:rPr>
              <w:t xml:space="preserve">RBA </w:t>
            </w:r>
          </w:p>
          <w:p w:rsidR="00D407FB" w:rsidRDefault="00D407FB" w:rsidP="009F3DBE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5D267B">
              <w:rPr>
                <w:rFonts w:eastAsia="Times New Roman" w:cs="Arial"/>
                <w:sz w:val="20"/>
                <w:szCs w:val="20"/>
                <w:lang w:eastAsia="en-NZ"/>
              </w:rPr>
              <w:t xml:space="preserve">MOH Reporting requirements </w:t>
            </w:r>
          </w:p>
          <w:p w:rsidR="00D407FB" w:rsidRPr="005D267B" w:rsidRDefault="00D407FB" w:rsidP="009F3DBE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07FB" w:rsidRDefault="00D407FB" w:rsidP="009F3DBE">
            <w:pPr>
              <w:spacing w:after="0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eastAsia="en-NZ"/>
              </w:rPr>
              <w:lastRenderedPageBreak/>
              <w:t xml:space="preserve">Quarterly 1, 2, 3, 4 </w:t>
            </w:r>
          </w:p>
          <w:p w:rsidR="00D407FB" w:rsidRDefault="00D407FB" w:rsidP="009F3DBE">
            <w:pPr>
              <w:spacing w:after="0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eastAsia="en-NZ"/>
              </w:rPr>
              <w:t>May 20</w:t>
            </w:r>
            <w:r w:rsidRPr="00624125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vertAlign w:val="superscript"/>
                <w:lang w:eastAsia="en-NZ"/>
              </w:rPr>
              <w:t>th</w:t>
            </w: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eastAsia="en-NZ"/>
              </w:rPr>
              <w:t xml:space="preserve"> Action Plan</w:t>
            </w:r>
          </w:p>
          <w:p w:rsidR="00D407FB" w:rsidRDefault="00D407FB" w:rsidP="009F3DBE">
            <w:pPr>
              <w:spacing w:after="0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eastAsia="en-NZ"/>
              </w:rPr>
              <w:lastRenderedPageBreak/>
              <w:t xml:space="preserve">6 m progress report  </w:t>
            </w:r>
          </w:p>
          <w:p w:rsidR="00D407FB" w:rsidRDefault="00D407FB" w:rsidP="009F3DBE">
            <w:pPr>
              <w:spacing w:after="0"/>
              <w:rPr>
                <w:rFonts w:eastAsia="Times New Roman" w:cs="Arial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eastAsia="en-NZ"/>
              </w:rPr>
              <w:t>May 20</w:t>
            </w:r>
            <w:r w:rsidRPr="00624125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vertAlign w:val="superscript"/>
                <w:lang w:eastAsia="en-NZ"/>
              </w:rPr>
              <w:t>th</w:t>
            </w: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eastAsia="en-NZ"/>
              </w:rPr>
              <w:t xml:space="preserve"> Action Plan </w:t>
            </w:r>
            <w:r>
              <w:rPr>
                <w:rFonts w:eastAsia="Times New Roman" w:cs="Arial"/>
                <w:sz w:val="20"/>
                <w:szCs w:val="20"/>
                <w:lang w:eastAsia="en-NZ"/>
              </w:rPr>
              <w:t xml:space="preserve"> </w:t>
            </w:r>
          </w:p>
          <w:p w:rsidR="00D407FB" w:rsidRDefault="00D407FB" w:rsidP="009F3DBE">
            <w:pPr>
              <w:spacing w:after="0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sz w:val="20"/>
                <w:szCs w:val="20"/>
                <w:lang w:eastAsia="en-NZ"/>
              </w:rPr>
              <w:t>ANNUAL June 20</w:t>
            </w:r>
            <w:r w:rsidRPr="004327BF">
              <w:rPr>
                <w:rFonts w:eastAsia="Times New Roman" w:cs="Arial"/>
                <w:sz w:val="20"/>
                <w:szCs w:val="20"/>
                <w:vertAlign w:val="superscript"/>
                <w:lang w:eastAsia="en-NZ"/>
              </w:rPr>
              <w:t>th</w:t>
            </w:r>
          </w:p>
          <w:p w:rsidR="00D407FB" w:rsidRPr="005D267B" w:rsidRDefault="00D407FB" w:rsidP="009F3DBE">
            <w:pPr>
              <w:spacing w:after="0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eastAsia="en-NZ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07FB" w:rsidRPr="005D267B" w:rsidRDefault="00D407FB" w:rsidP="009F3DBE">
            <w:pPr>
              <w:spacing w:after="0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eastAsia="en-NZ"/>
              </w:rPr>
            </w:pPr>
            <w:r w:rsidRPr="005D267B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eastAsia="en-NZ"/>
              </w:rPr>
              <w:lastRenderedPageBreak/>
              <w:t> </w:t>
            </w:r>
          </w:p>
        </w:tc>
      </w:tr>
    </w:tbl>
    <w:p w:rsidR="003A7A58" w:rsidRDefault="003A7A58"/>
    <w:sectPr w:rsidR="003A7A58" w:rsidSect="00D407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FB" w:rsidRDefault="00D407FB" w:rsidP="00D407FB">
      <w:pPr>
        <w:spacing w:after="0" w:line="240" w:lineRule="auto"/>
      </w:pPr>
      <w:r>
        <w:separator/>
      </w:r>
    </w:p>
  </w:endnote>
  <w:endnote w:type="continuationSeparator" w:id="0">
    <w:p w:rsidR="00D407FB" w:rsidRDefault="00D407FB" w:rsidP="00D4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FB" w:rsidRDefault="00D407FB" w:rsidP="00D407FB">
      <w:pPr>
        <w:spacing w:after="0" w:line="240" w:lineRule="auto"/>
      </w:pPr>
      <w:r>
        <w:separator/>
      </w:r>
    </w:p>
  </w:footnote>
  <w:footnote w:type="continuationSeparator" w:id="0">
    <w:p w:rsidR="00D407FB" w:rsidRDefault="00D407FB" w:rsidP="00D407FB">
      <w:pPr>
        <w:spacing w:after="0" w:line="240" w:lineRule="auto"/>
      </w:pPr>
      <w:r>
        <w:continuationSeparator/>
      </w:r>
    </w:p>
  </w:footnote>
  <w:footnote w:id="1">
    <w:p w:rsidR="00D407FB" w:rsidRDefault="00D407FB" w:rsidP="00D407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  <w:i/>
          <w:color w:val="000000"/>
        </w:rPr>
        <w:t>T</w:t>
      </w:r>
      <w:r w:rsidRPr="00942472">
        <w:rPr>
          <w:rFonts w:cs="Arial"/>
          <w:i/>
          <w:color w:val="000000"/>
        </w:rPr>
        <w:t>hese are initiative</w:t>
      </w:r>
      <w:r>
        <w:rPr>
          <w:rFonts w:cs="Arial"/>
          <w:i/>
          <w:color w:val="000000"/>
        </w:rPr>
        <w:t>s</w:t>
      </w:r>
      <w:r w:rsidRPr="00942472">
        <w:rPr>
          <w:rFonts w:cs="Arial"/>
          <w:i/>
          <w:color w:val="000000"/>
        </w:rPr>
        <w:t xml:space="preserve"> led by the community with CAYAD support</w:t>
      </w:r>
      <w:r>
        <w:rPr>
          <w:rFonts w:cs="Arial"/>
          <w:i/>
          <w:color w:val="000000"/>
        </w:rPr>
        <w:t xml:space="preserve"> or CAYAD led with strong community involvement</w:t>
      </w:r>
    </w:p>
  </w:footnote>
  <w:footnote w:id="2">
    <w:p w:rsidR="00D407FB" w:rsidRPr="00E17545" w:rsidRDefault="00D407FB" w:rsidP="00D407FB">
      <w:pPr>
        <w:pStyle w:val="FootnoteText"/>
        <w:rPr>
          <w:i/>
          <w:lang w:val="en-US"/>
        </w:rPr>
      </w:pPr>
      <w:r w:rsidRPr="00E17545">
        <w:rPr>
          <w:rStyle w:val="FootnoteReference"/>
          <w:i/>
        </w:rPr>
        <w:footnoteRef/>
      </w:r>
      <w:r w:rsidRPr="00E17545">
        <w:rPr>
          <w:i/>
        </w:rPr>
        <w:t xml:space="preserve"> </w:t>
      </w:r>
      <w:r w:rsidRPr="00E17545">
        <w:rPr>
          <w:i/>
          <w:lang w:val="en-US"/>
        </w:rPr>
        <w:t>This can include supporting national campaigns</w:t>
      </w:r>
    </w:p>
  </w:footnote>
  <w:footnote w:id="3">
    <w:p w:rsidR="00D407FB" w:rsidRPr="003E2681" w:rsidRDefault="00D407FB" w:rsidP="00D407FB">
      <w:pPr>
        <w:pStyle w:val="FootnoteText"/>
        <w:rPr>
          <w:i/>
        </w:rPr>
      </w:pPr>
      <w:r w:rsidRPr="003E2681">
        <w:rPr>
          <w:rStyle w:val="FootnoteReference"/>
          <w:i/>
        </w:rPr>
        <w:footnoteRef/>
      </w:r>
      <w:r w:rsidRPr="003E2681">
        <w:rPr>
          <w:i/>
        </w:rPr>
        <w:t xml:space="preserve"> This can include knowledge of evidence</w:t>
      </w:r>
      <w:r>
        <w:rPr>
          <w:i/>
        </w:rPr>
        <w:t>-</w:t>
      </w:r>
      <w:r w:rsidRPr="003E2681">
        <w:rPr>
          <w:i/>
        </w:rPr>
        <w:t xml:space="preserve">based actions to reduce harm from AOD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F41A5"/>
    <w:multiLevelType w:val="hybridMultilevel"/>
    <w:tmpl w:val="4E163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FB"/>
    <w:rsid w:val="003A7A58"/>
    <w:rsid w:val="00D4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9689F-BB91-4D48-A77F-13172C50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7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07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7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07FB"/>
    <w:rPr>
      <w:vertAlign w:val="superscript"/>
    </w:rPr>
  </w:style>
  <w:style w:type="paragraph" w:styleId="NoSpacing">
    <w:name w:val="No Spacing"/>
    <w:uiPriority w:val="1"/>
    <w:qFormat/>
    <w:rsid w:val="00D40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E0631742.dotm</Template>
  <TotalTime>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Jankin S. Alaifea</dc:creator>
  <cp:keywords/>
  <dc:description/>
  <cp:lastModifiedBy>Jankin S. Alaifea</cp:lastModifiedBy>
  <cp:revision>1</cp:revision>
  <dcterms:created xsi:type="dcterms:W3CDTF">2017-09-19T23:36:00Z</dcterms:created>
  <dcterms:modified xsi:type="dcterms:W3CDTF">2017-09-19T23:40:00Z</dcterms:modified>
</cp:coreProperties>
</file>